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52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pStyle w:val="6"/>
        <w:ind w:firstLine="0" w:firstLineChars="0"/>
        <w:jc w:val="center"/>
        <w:rPr>
          <w:rFonts w:hint="eastAsia" w:ascii="黑体" w:hAnsi="宋体" w:eastAsia="黑体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南京理工大学201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宋体" w:eastAsia="黑体"/>
          <w:sz w:val="36"/>
          <w:szCs w:val="36"/>
        </w:rPr>
        <w:t>年</w:t>
      </w:r>
      <w:r>
        <w:rPr>
          <w:rFonts w:hint="eastAsia" w:ascii="黑体" w:hAnsi="宋体" w:eastAsia="黑体"/>
          <w:sz w:val="36"/>
          <w:szCs w:val="36"/>
          <w:lang w:eastAsia="zh-CN"/>
        </w:rPr>
        <w:t>第二批</w:t>
      </w:r>
      <w:r>
        <w:rPr>
          <w:rFonts w:ascii="黑体" w:hAnsi="宋体" w:eastAsia="黑体"/>
          <w:sz w:val="36"/>
          <w:szCs w:val="36"/>
        </w:rPr>
        <w:t>优秀本科生国际交流项目获资助项目名单</w:t>
      </w:r>
    </w:p>
    <w:bookmarkEnd w:id="0"/>
    <w:tbl>
      <w:tblPr>
        <w:tblStyle w:val="5"/>
        <w:tblW w:w="152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410"/>
        <w:gridCol w:w="4819"/>
        <w:gridCol w:w="993"/>
        <w:gridCol w:w="1275"/>
        <w:gridCol w:w="1200"/>
        <w:gridCol w:w="1333"/>
        <w:gridCol w:w="70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81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4819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选派专业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（类）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选派</w:t>
            </w:r>
          </w:p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hint="eastAsia" w:ascii="仿宋_GB2312" w:eastAsia="仿宋_GB2312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年级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学习形式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交流时间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学费</w:t>
            </w:r>
          </w:p>
        </w:tc>
        <w:tc>
          <w:tcPr>
            <w:tcW w:w="700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名额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南京理工大学与澳大利亚国立大学优秀本科生国际交流项目</w:t>
            </w:r>
          </w:p>
        </w:tc>
        <w:tc>
          <w:tcPr>
            <w:tcW w:w="4819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计算机类，电子信息类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15级、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级、1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课程学习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,000澳元</w:t>
            </w:r>
          </w:p>
        </w:tc>
        <w:tc>
          <w:tcPr>
            <w:tcW w:w="700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雅思单科成绩不低于6.0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南京理工大学与美国代顿大学优秀本科生国际交流项目</w:t>
            </w:r>
          </w:p>
        </w:tc>
        <w:tc>
          <w:tcPr>
            <w:tcW w:w="4819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自动化类，电子信息类，工业工程类，航空航天类，仪器类，电气类，机械类，经济学类，工商管理类，兵器类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15级、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级、1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课程学习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.1-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.5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约6,000美元</w:t>
            </w:r>
          </w:p>
        </w:tc>
        <w:tc>
          <w:tcPr>
            <w:tcW w:w="700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雅思6.0分（含）或托福85分（含）以上可报名，通过外方审核后方可推荐。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南京理工大学与瑞典卡尔斯塔德大学优秀本科生国际交流项目</w:t>
            </w:r>
          </w:p>
        </w:tc>
        <w:tc>
          <w:tcPr>
            <w:tcW w:w="4819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物理学类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15级、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级、1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课程学习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免学费</w:t>
            </w:r>
          </w:p>
        </w:tc>
        <w:tc>
          <w:tcPr>
            <w:tcW w:w="700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雅思6.0分（含）或托福85分（含）以上可报名，通过外方审核后方可推荐。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南京理工大学与美国亚利桑那州立大学优秀本科生国际交流项目</w:t>
            </w:r>
          </w:p>
        </w:tc>
        <w:tc>
          <w:tcPr>
            <w:tcW w:w="4819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能源动力类，工业工程类，计算机类，电子信息类，自动化类，机械类，材料类，电气类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15级、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级、1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课程学习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.1-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.5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约15,500美元</w:t>
            </w:r>
          </w:p>
        </w:tc>
        <w:tc>
          <w:tcPr>
            <w:tcW w:w="700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雅思6.0分（含）或托福85分（含）以上可报名，通过外方审核后方可推荐。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南京理工大学与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澳大利亚昆士兰</w:t>
            </w:r>
            <w:r>
              <w:rPr>
                <w:rFonts w:ascii="仿宋_GB2312" w:eastAsia="仿宋_GB2312"/>
                <w:sz w:val="24"/>
                <w:szCs w:val="24"/>
              </w:rPr>
              <w:t>大学优秀本科生国际交流项目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ahoma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Tahoma" w:eastAsia="仿宋_GB2312"/>
                <w:kern w:val="0"/>
                <w:sz w:val="24"/>
                <w:szCs w:val="24"/>
                <w:lang w:val="en-US" w:eastAsia="zh-CN" w:bidi="ar-SA"/>
              </w:rPr>
              <w:t>机械类，材料类，能源动力类，电气类，电子信息类，自动化类，计算机类，化工与制药类，环境科学与工程类，生物工程类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15级、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级、1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课程学习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2019.1-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2019.6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,000澳元</w:t>
            </w:r>
          </w:p>
        </w:tc>
        <w:tc>
          <w:tcPr>
            <w:tcW w:w="700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只接受雅思成绩。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南京理工大学与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英国斯特拉思克莱德</w:t>
            </w: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大学优秀本科生国际交流项目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ahoma" w:eastAsia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ahoma" w:eastAsia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经济学类，金融学类，经济与贸易类，管理科学与工程类，工商管理类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15级、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级、1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课程学习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2019.1-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2019.6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约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7,000英镑</w:t>
            </w:r>
          </w:p>
        </w:tc>
        <w:tc>
          <w:tcPr>
            <w:tcW w:w="700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只接受雅思成绩，且单科成绩不低于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5.5。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南京理工大学与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英国纽卡斯尔</w:t>
            </w: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大学优秀本科生国际交流项目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ahoma" w:eastAsia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ahoma" w:eastAsia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经济学类，金融学类，经济与贸易类，管理科学与工程类，工商管理类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after="0"/>
              <w:ind w:firstLine="0" w:firstLineChars="0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15级、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级、1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课程学习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2019.1-</w:t>
            </w:r>
          </w:p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2019.6</w:t>
            </w:r>
          </w:p>
        </w:tc>
        <w:tc>
          <w:tcPr>
            <w:tcW w:w="1333" w:type="dxa"/>
            <w:vAlign w:val="center"/>
          </w:tcPr>
          <w:p>
            <w:pPr>
              <w:pStyle w:val="6"/>
              <w:spacing w:after="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约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,000英镑</w:t>
            </w:r>
          </w:p>
        </w:tc>
        <w:tc>
          <w:tcPr>
            <w:tcW w:w="700" w:type="dxa"/>
            <w:vAlign w:val="center"/>
          </w:tcPr>
          <w:p>
            <w:pPr>
              <w:pStyle w:val="6"/>
              <w:spacing w:after="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spacing w:before="156" w:beforeLines="50" w:after="156" w:afterLines="50"/>
              <w:ind w:firstLine="0" w:firstLineChars="0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只接受雅思成绩，且单科成绩不低于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6.0。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B5E0D"/>
    <w:rsid w:val="705B5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正文 New"/>
    <w:qFormat/>
    <w:uiPriority w:val="0"/>
    <w:pPr>
      <w:adjustRightInd w:val="0"/>
      <w:snapToGrid w:val="0"/>
      <w:spacing w:after="200"/>
      <w:ind w:firstLine="200" w:firstLineChars="200"/>
    </w:pPr>
    <w:rPr>
      <w:rFonts w:ascii="Tahoma" w:hAnsi="Tahoma" w:eastAsia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2018-06-12T03:48:00Z</dcterms:created>
  <dc:creator>裴裴</dc:creator>
  <cp:lastModifiedBy>裴裴</cp:lastModifiedBy>
  <dcterms:modified xsi:type="dcterms:W3CDTF">2018-06-12T03:48:39Z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