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0"/>
        <w:rPr>
          <w:rFonts w:hint="eastAsia" w:ascii="仿宋" w:hAnsi="仿宋" w:eastAsia="仿宋" w:cs="仿宋"/>
          <w:kern w:val="0"/>
          <w:sz w:val="28"/>
          <w:szCs w:val="28"/>
        </w:rPr>
      </w:pPr>
      <w:bookmarkStart w:id="0" w:name="_Toc30397"/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bookmarkEnd w:id="0"/>
    </w:p>
    <w:p>
      <w:pPr>
        <w:spacing w:after="159" w:afterLines="50" w:line="500" w:lineRule="exact"/>
        <w:ind w:firstLine="480"/>
        <w:jc w:val="center"/>
        <w:outlineLvl w:val="0"/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</w:rPr>
      </w:pPr>
      <w:bookmarkStart w:id="2" w:name="_GoBack"/>
      <w:bookmarkStart w:id="1" w:name="_Toc4375"/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</w:rPr>
        <w:t>课程教学目标达成度分析表</w:t>
      </w:r>
      <w:bookmarkEnd w:id="1"/>
    </w:p>
    <w:bookmarkEnd w:id="2"/>
    <w:tbl>
      <w:tblPr>
        <w:tblStyle w:val="20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808"/>
        <w:gridCol w:w="822"/>
        <w:gridCol w:w="700"/>
        <w:gridCol w:w="938"/>
        <w:gridCol w:w="1037"/>
        <w:gridCol w:w="475"/>
        <w:gridCol w:w="1113"/>
        <w:gridCol w:w="2119"/>
        <w:gridCol w:w="2143"/>
        <w:gridCol w:w="1200"/>
        <w:gridCol w:w="550"/>
        <w:gridCol w:w="625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自然年度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开课单位代码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开课单位名称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对应工程教育认证毕业要求项目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课程教学目标中对应内容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教学达成途径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评价依据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评价得分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评价责任人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评价参与人员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例：2020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基础课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11120804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大学物理（Ⅰ）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工程知识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1、掌握基本物理原理；2、掌握物理计算方法；3、掌握物理模型建立；4、能对与课程相关的课题进行设计、分析数据，并给出合理的解释，并通过信息综合得出合理有效结论，解决实际问题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课堂授课讲解提问；2、每堂课内容对应的作业；3、课堂随堂给出一些结合实际问题；4、期末考试；5、QQ学习讨论群，及时答疑解惑探讨指导；6、指导学生对相关课题进行设计和分析；7、指导学生对数据做出合理解释，并撰写小论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1、读书报告得分；2、小论文得分；3、小测验得分；4、期末考试得分。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0.79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XXX,XXX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例：2020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基础课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11120804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大学物理（Ⅰ）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问题分析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1、掌握基本物理原理；2、掌握物理计算方法；3、掌握物理模型建立。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指导学生预习新课；2、课堂授课讲解提问；3、每堂课内容对应的作业；4、课堂随堂章节总测验；5、期末考试；6、小论文；7、QQ学习讨论群，及时答疑解惑探讨指导；8、期末考前冲刺模拟测验；9、各个章节的内容总结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1、作业正确率；2、小论文得分；3、小测验得分；4、章节总结得分；5、期末考试得分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XXX,XXX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after="159" w:afterLines="50" w:line="440" w:lineRule="exact"/>
        <w:ind w:firstLine="480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0"/>
        </w:rPr>
        <w:sectPr>
          <w:footerReference r:id="rId3" w:type="default"/>
          <w:pgSz w:w="16838" w:h="11906" w:orient="landscape"/>
          <w:pgMar w:top="1179" w:right="1440" w:bottom="1491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8" w:charSpace="0"/>
        </w:sectPr>
      </w:pPr>
    </w:p>
    <w:p>
      <w:pPr>
        <w:spacing w:after="159" w:afterLines="50" w:line="440" w:lineRule="exact"/>
        <w:ind w:firstLine="480"/>
        <w:jc w:val="center"/>
        <w:outlineLvl w:val="0"/>
        <w:rPr>
          <w:rFonts w:asciiTheme="minorEastAsia" w:hAnsiTheme="minorEastAsia" w:eastAsiaTheme="minorEastAsia" w:cstheme="minorEastAsia"/>
          <w:b/>
          <w:bCs/>
          <w:kern w:val="0"/>
          <w:sz w:val="32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0"/>
        </w:rPr>
        <w:t>填写说明</w:t>
      </w:r>
    </w:p>
    <w:p>
      <w:pPr>
        <w:numPr>
          <w:ilvl w:val="0"/>
          <w:numId w:val="1"/>
        </w:numPr>
        <w:spacing w:line="440" w:lineRule="exact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各字段项说明</w:t>
      </w:r>
    </w:p>
    <w:p>
      <w:pPr>
        <w:numPr>
          <w:ilvl w:val="0"/>
          <w:numId w:val="2"/>
        </w:numPr>
        <w:spacing w:line="440" w:lineRule="exact"/>
        <w:ind w:firstLine="482" w:firstLineChars="200"/>
        <w:rPr>
          <w:rStyle w:val="34"/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Style w:val="34"/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评价责任人：</w:t>
      </w:r>
      <w:r>
        <w:rPr>
          <w:rStyle w:val="34"/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基础课程的评价责任人为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课程负责人。</w:t>
      </w:r>
    </w:p>
    <w:p>
      <w:pPr>
        <w:numPr>
          <w:ilvl w:val="0"/>
          <w:numId w:val="2"/>
        </w:numPr>
        <w:spacing w:line="440" w:lineRule="exact"/>
        <w:ind w:firstLine="482" w:firstLineChars="200"/>
        <w:rPr>
          <w:rStyle w:val="34"/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Style w:val="34"/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参与人员：</w:t>
      </w:r>
      <w:r>
        <w:rPr>
          <w:rStyle w:val="34"/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相关课程授课教师。</w:t>
      </w:r>
    </w:p>
    <w:p>
      <w:pPr>
        <w:numPr>
          <w:ilvl w:val="0"/>
          <w:numId w:val="2"/>
        </w:numPr>
        <w:spacing w:line="440" w:lineRule="exact"/>
        <w:ind w:firstLine="482" w:firstLineChars="200"/>
        <w:rPr>
          <w:rStyle w:val="34"/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Style w:val="34"/>
          <w:rFonts w:hint="eastAsia" w:asciiTheme="minorEastAsia" w:hAnsiTheme="minorEastAsia" w:eastAsiaTheme="minorEastAsia" w:cstheme="minorEastAsia"/>
          <w:b/>
          <w:sz w:val="24"/>
          <w:szCs w:val="24"/>
        </w:rPr>
        <w:t>十二项毕业要求：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工程教育专业认证通用标准中的毕业要求。</w:t>
      </w:r>
    </w:p>
    <w:p>
      <w:pPr>
        <w:numPr>
          <w:ilvl w:val="0"/>
          <w:numId w:val="2"/>
        </w:numPr>
        <w:spacing w:line="440" w:lineRule="exact"/>
        <w:ind w:firstLine="482" w:firstLineChars="200"/>
        <w:rPr>
          <w:rStyle w:val="34"/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Style w:val="34"/>
          <w:rFonts w:hint="eastAsia" w:asciiTheme="minorEastAsia" w:hAnsiTheme="minorEastAsia" w:eastAsiaTheme="minorEastAsia" w:cstheme="minorEastAsia"/>
          <w:b/>
          <w:sz w:val="24"/>
          <w:szCs w:val="24"/>
        </w:rPr>
        <w:t>课程教学目标中对应内容：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“教学大纲”中“教学目标”的相应内容。</w:t>
      </w:r>
    </w:p>
    <w:p>
      <w:pPr>
        <w:numPr>
          <w:ilvl w:val="0"/>
          <w:numId w:val="2"/>
        </w:numPr>
        <w:spacing w:line="440" w:lineRule="exact"/>
        <w:ind w:firstLine="482" w:firstLineChars="200"/>
        <w:rPr>
          <w:rStyle w:val="34"/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Style w:val="34"/>
          <w:rFonts w:hint="eastAsia" w:asciiTheme="minorEastAsia" w:hAnsiTheme="minorEastAsia" w:eastAsiaTheme="minorEastAsia" w:cstheme="minorEastAsia"/>
          <w:b/>
          <w:sz w:val="24"/>
          <w:szCs w:val="24"/>
        </w:rPr>
        <w:t>教学达成途径：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教师在课程教学过程中采用的教学组织实施方法。</w:t>
      </w:r>
    </w:p>
    <w:p>
      <w:pPr>
        <w:numPr>
          <w:ilvl w:val="0"/>
          <w:numId w:val="2"/>
        </w:numPr>
        <w:spacing w:line="440" w:lineRule="exact"/>
        <w:ind w:firstLine="482" w:firstLineChars="200"/>
        <w:rPr>
          <w:rStyle w:val="34"/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Style w:val="34"/>
          <w:rFonts w:hint="eastAsia" w:asciiTheme="minorEastAsia" w:hAnsiTheme="minorEastAsia" w:eastAsiaTheme="minorEastAsia" w:cstheme="minorEastAsia"/>
          <w:b/>
          <w:sz w:val="24"/>
          <w:szCs w:val="24"/>
        </w:rPr>
        <w:t>评价依据：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考试、测验、大作业、实验（实习、设计）报告、读书报告等材料。</w:t>
      </w:r>
    </w:p>
    <w:p>
      <w:pPr>
        <w:numPr>
          <w:ilvl w:val="0"/>
          <w:numId w:val="1"/>
        </w:numPr>
        <w:spacing w:line="440" w:lineRule="exact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评价过程</w:t>
      </w:r>
    </w:p>
    <w:p>
      <w:pPr>
        <w:numPr>
          <w:ilvl w:val="0"/>
          <w:numId w:val="3"/>
        </w:numPr>
        <w:spacing w:line="440" w:lineRule="exact"/>
        <w:ind w:firstLine="482" w:firstLineChars="200"/>
        <w:rPr>
          <w:rStyle w:val="34"/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Style w:val="34"/>
          <w:rFonts w:hint="eastAsia" w:asciiTheme="minorEastAsia" w:hAnsiTheme="minorEastAsia" w:eastAsiaTheme="minorEastAsia" w:cstheme="minorEastAsia"/>
          <w:b/>
          <w:sz w:val="24"/>
          <w:szCs w:val="24"/>
        </w:rPr>
        <w:t>分解课程教学目标。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评价责任人与参与评价的教师共同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对照十二项毕业要求，分解、对应课程教学目标。一门课程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通常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对应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1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～4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项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毕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业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要求</w:t>
      </w:r>
      <w:r>
        <w:rPr>
          <w:rStyle w:val="34"/>
          <w:rFonts w:hint="eastAsia" w:asciiTheme="minorEastAsia" w:hAnsiTheme="minorEastAsia" w:eastAsiaTheme="minorEastAsia" w:cstheme="minorEastAsia"/>
          <w:bCs/>
          <w:sz w:val="24"/>
          <w:szCs w:val="24"/>
        </w:rPr>
        <w:t>。</w:t>
      </w:r>
    </w:p>
    <w:p>
      <w:pPr>
        <w:numPr>
          <w:ilvl w:val="0"/>
          <w:numId w:val="3"/>
        </w:numPr>
        <w:spacing w:line="440" w:lineRule="exact"/>
        <w:ind w:firstLine="482" w:firstLineChars="200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Style w:val="34"/>
          <w:rFonts w:hint="eastAsia" w:asciiTheme="minorEastAsia" w:hAnsiTheme="minorEastAsia" w:eastAsiaTheme="minorEastAsia" w:cstheme="minorEastAsia"/>
          <w:b/>
          <w:sz w:val="24"/>
          <w:szCs w:val="24"/>
        </w:rPr>
        <w:t>抽取样本。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课程上课总人数≤200，按全样本抽样；上课总人数&gt;200，抽取样本数最少为200人，可以教学班为单位整班抽取，尽量选取班级成绩为当年该课程所有教学班中等水平的班级。</w:t>
      </w:r>
    </w:p>
    <w:p>
      <w:pPr>
        <w:numPr>
          <w:ilvl w:val="0"/>
          <w:numId w:val="3"/>
        </w:numPr>
        <w:spacing w:line="440" w:lineRule="exact"/>
        <w:ind w:firstLine="482" w:firstLineChars="200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计算方法</w:t>
      </w:r>
      <w:r>
        <w:rPr>
          <w:rStyle w:val="34"/>
          <w:rFonts w:hint="eastAsia" w:asciiTheme="minorEastAsia" w:hAnsiTheme="minorEastAsia" w:eastAsiaTheme="minorEastAsia" w:cstheme="minorEastAsia"/>
          <w:b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依据学生的考核结果（包括试卷、大作业、报告、设计等），对该每条教学目标进行达成度评价。</w:t>
      </w:r>
    </w:p>
    <w:p>
      <w:pPr>
        <w:spacing w:line="440" w:lineRule="exact"/>
        <w:ind w:left="420" w:leftChars="200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【举例】：</w:t>
      </w:r>
    </w:p>
    <w:p>
      <w:pPr>
        <w:spacing w:line="440" w:lineRule="exact"/>
        <w:ind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依据课程考核方式，分析试卷、实验报告、实验表现等考核内容，拆分并对应所支撑的各项教学目标，逐项评价达成度。</w:t>
      </w:r>
    </w:p>
    <w:p>
      <w:pPr>
        <w:spacing w:line="440" w:lineRule="exact"/>
        <w:ind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如20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</w:rPr>
        <w:t>年XX课程总评成绩的总分为100分，其中某项教学目标对应能力的考核部分成绩总分为20分。统计结果表明，样本中所有学生与该项能力考核部分相关的得分平分值为14分，则学生该项教学目标对应能力的实际达成度评价值为：</w:t>
      </w:r>
    </w:p>
    <w:p>
      <w:pPr>
        <w:spacing w:line="440" w:lineRule="exact"/>
        <w:ind w:firstLine="48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评价值 = 1.0 ×（14/20）= 0.70</w:t>
      </w:r>
    </w:p>
    <w:p>
      <w:pPr>
        <w:widowControl/>
        <w:spacing w:after="159" w:afterLines="50" w:line="440" w:lineRule="exact"/>
        <w:ind w:firstLine="48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同样方法，分别对其他教学目标项进行评价，将最终结果分别填入表中“评价结果”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</w:rPr>
        <w:t>。</w:t>
      </w:r>
    </w:p>
    <w:p>
      <w:pPr>
        <w:widowControl/>
        <w:spacing w:after="159" w:afterLines="50" w:line="440" w:lineRule="exact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lang w:eastAsia="zh-CN"/>
        </w:rPr>
        <w:t>三、毕业要求内涵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1.工程知识：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能够将数学、自然科学、工程基础和专业知识用于解决复杂工程问题。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2.问题分析：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能够应用数学、自然科学和工程科学的基本原理，识别、表达、并通过文献研究分析复杂工程问题，以获得有效结论。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3.设计/开发解决方案：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4.研究：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能够基于科学原理并采用科学方法对复杂工程问题进行研究，包括设计实验、分析与解释数据、并通过信息综合得到合理有效的结论。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5.使用现代工具：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能够针对复杂工程问题，开发、选择与使用恰当的技术、资源、现代工程工具和信息技术工具，包括对复杂工程问题的预测与模拟，并能够理解其局限性。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6.工程与社会：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能够基于工程相关背景知识进行合理分析，评价专业工程实践和复杂工程问题解决方案对社会、健康、安全、法律以及文化的影响，并理解应承担的责任。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7.环境和可持续发展：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能够理解和评价针对复杂工程问题的专业工程实践对环境、社会可持续发展的影响。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8.职业规范：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具有人文社会科学素养、社会责任感，能够在工程实践中理解并遵守工程职业道德和规范，履行责任。 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9.个人和团队：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能够在多学科背景下的团队中承担个体、团队成员以及负责人的角色。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10.沟通：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>
      <w:pPr>
        <w:snapToGrid w:val="0"/>
        <w:spacing w:line="360" w:lineRule="auto"/>
        <w:ind w:firstLine="48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11.项目管理：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理解并掌握工程管理原理与经济决策方法，并能在多学科环境中应用。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12.终身学习：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具有自主学习和终身学习的意识，有不断学习和适应发展的能力。</w:t>
      </w:r>
    </w:p>
    <w:p>
      <w:pPr>
        <w:rPr>
          <w:rFonts w:hint="eastAsia"/>
        </w:rPr>
      </w:pPr>
    </w:p>
    <w:sectPr>
      <w:footerReference r:id="rId4" w:type="default"/>
      <w:footerReference r:id="rId5" w:type="even"/>
      <w:pgSz w:w="11906" w:h="16838"/>
      <w:pgMar w:top="1440" w:right="1489" w:bottom="1440" w:left="11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A459A"/>
    <w:multiLevelType w:val="singleLevel"/>
    <w:tmpl w:val="576A459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6A4F62"/>
    <w:multiLevelType w:val="singleLevel"/>
    <w:tmpl w:val="576A4F62"/>
    <w:lvl w:ilvl="0" w:tentative="0">
      <w:start w:val="1"/>
      <w:numFmt w:val="decimal"/>
      <w:suff w:val="nothing"/>
      <w:lvlText w:val="%1．"/>
      <w:lvlJc w:val="left"/>
      <w:pPr>
        <w:ind w:left="-116" w:firstLine="400"/>
      </w:pPr>
      <w:rPr>
        <w:rFonts w:hint="default"/>
      </w:rPr>
    </w:lvl>
  </w:abstractNum>
  <w:abstractNum w:abstractNumId="2">
    <w:nsid w:val="5773728F"/>
    <w:multiLevelType w:val="singleLevel"/>
    <w:tmpl w:val="5773728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2"/>
    <w:rsid w:val="00010642"/>
    <w:rsid w:val="000179C4"/>
    <w:rsid w:val="00023B33"/>
    <w:rsid w:val="00030614"/>
    <w:rsid w:val="0006560A"/>
    <w:rsid w:val="00071949"/>
    <w:rsid w:val="0007729F"/>
    <w:rsid w:val="00094BEE"/>
    <w:rsid w:val="000B3CAE"/>
    <w:rsid w:val="000C2E1D"/>
    <w:rsid w:val="000F7696"/>
    <w:rsid w:val="00105A1D"/>
    <w:rsid w:val="001276CF"/>
    <w:rsid w:val="00144BEC"/>
    <w:rsid w:val="00147CF6"/>
    <w:rsid w:val="00160DE2"/>
    <w:rsid w:val="00164686"/>
    <w:rsid w:val="00164DE5"/>
    <w:rsid w:val="001966DD"/>
    <w:rsid w:val="001A2B3E"/>
    <w:rsid w:val="00266831"/>
    <w:rsid w:val="00280151"/>
    <w:rsid w:val="00291C9F"/>
    <w:rsid w:val="002C77AC"/>
    <w:rsid w:val="002D10A7"/>
    <w:rsid w:val="002E2311"/>
    <w:rsid w:val="002E57AE"/>
    <w:rsid w:val="002E7551"/>
    <w:rsid w:val="002F102B"/>
    <w:rsid w:val="002F64FD"/>
    <w:rsid w:val="00304134"/>
    <w:rsid w:val="0031383D"/>
    <w:rsid w:val="003165F3"/>
    <w:rsid w:val="00375F2B"/>
    <w:rsid w:val="003B3D19"/>
    <w:rsid w:val="003D4A6C"/>
    <w:rsid w:val="003F5456"/>
    <w:rsid w:val="004058FC"/>
    <w:rsid w:val="00405956"/>
    <w:rsid w:val="00415B2A"/>
    <w:rsid w:val="0042175A"/>
    <w:rsid w:val="00434D87"/>
    <w:rsid w:val="00453D33"/>
    <w:rsid w:val="00471CF2"/>
    <w:rsid w:val="004A1200"/>
    <w:rsid w:val="004A7AE6"/>
    <w:rsid w:val="0050508F"/>
    <w:rsid w:val="0054688B"/>
    <w:rsid w:val="0057390B"/>
    <w:rsid w:val="0058020A"/>
    <w:rsid w:val="006126FD"/>
    <w:rsid w:val="006426A0"/>
    <w:rsid w:val="00656AA3"/>
    <w:rsid w:val="00683281"/>
    <w:rsid w:val="00684724"/>
    <w:rsid w:val="006E4ABC"/>
    <w:rsid w:val="00713A32"/>
    <w:rsid w:val="00725EE1"/>
    <w:rsid w:val="00735EF0"/>
    <w:rsid w:val="00776468"/>
    <w:rsid w:val="00781A7C"/>
    <w:rsid w:val="007C07A0"/>
    <w:rsid w:val="007E5305"/>
    <w:rsid w:val="007F3674"/>
    <w:rsid w:val="00803F9C"/>
    <w:rsid w:val="00847F30"/>
    <w:rsid w:val="00870FFC"/>
    <w:rsid w:val="00887192"/>
    <w:rsid w:val="008E33C0"/>
    <w:rsid w:val="008F58D2"/>
    <w:rsid w:val="00905FCD"/>
    <w:rsid w:val="009242E4"/>
    <w:rsid w:val="0092526D"/>
    <w:rsid w:val="00927EE2"/>
    <w:rsid w:val="00933829"/>
    <w:rsid w:val="00946B6B"/>
    <w:rsid w:val="00955EF7"/>
    <w:rsid w:val="00961706"/>
    <w:rsid w:val="00976E6A"/>
    <w:rsid w:val="009B19B6"/>
    <w:rsid w:val="009B1A9F"/>
    <w:rsid w:val="009B42A2"/>
    <w:rsid w:val="009D498D"/>
    <w:rsid w:val="00A06F8D"/>
    <w:rsid w:val="00A34970"/>
    <w:rsid w:val="00A35B93"/>
    <w:rsid w:val="00A4525E"/>
    <w:rsid w:val="00A54330"/>
    <w:rsid w:val="00A63EE4"/>
    <w:rsid w:val="00A70E1B"/>
    <w:rsid w:val="00A7772E"/>
    <w:rsid w:val="00A77AC4"/>
    <w:rsid w:val="00A90097"/>
    <w:rsid w:val="00A9725C"/>
    <w:rsid w:val="00AA4A39"/>
    <w:rsid w:val="00AB32DD"/>
    <w:rsid w:val="00AC7083"/>
    <w:rsid w:val="00AE4AB0"/>
    <w:rsid w:val="00B02770"/>
    <w:rsid w:val="00B10729"/>
    <w:rsid w:val="00B439E0"/>
    <w:rsid w:val="00B47B4D"/>
    <w:rsid w:val="00B5075A"/>
    <w:rsid w:val="00B64D27"/>
    <w:rsid w:val="00B94C9A"/>
    <w:rsid w:val="00BC03BB"/>
    <w:rsid w:val="00BD2050"/>
    <w:rsid w:val="00C11346"/>
    <w:rsid w:val="00C12046"/>
    <w:rsid w:val="00C817E0"/>
    <w:rsid w:val="00C9542C"/>
    <w:rsid w:val="00CC0AE8"/>
    <w:rsid w:val="00CD7A13"/>
    <w:rsid w:val="00D03591"/>
    <w:rsid w:val="00D37A7A"/>
    <w:rsid w:val="00D4452C"/>
    <w:rsid w:val="00D50686"/>
    <w:rsid w:val="00D62F68"/>
    <w:rsid w:val="00D704B5"/>
    <w:rsid w:val="00D71666"/>
    <w:rsid w:val="00D96E8F"/>
    <w:rsid w:val="00DA184B"/>
    <w:rsid w:val="00DE3F4F"/>
    <w:rsid w:val="00E316EB"/>
    <w:rsid w:val="00EA5BC1"/>
    <w:rsid w:val="00ED1770"/>
    <w:rsid w:val="00ED773D"/>
    <w:rsid w:val="00F0600A"/>
    <w:rsid w:val="00F20256"/>
    <w:rsid w:val="00F42CF3"/>
    <w:rsid w:val="00F7580D"/>
    <w:rsid w:val="00F764A1"/>
    <w:rsid w:val="00F76AC8"/>
    <w:rsid w:val="00F94553"/>
    <w:rsid w:val="00FA3ABF"/>
    <w:rsid w:val="00FE1E6E"/>
    <w:rsid w:val="00FF5378"/>
    <w:rsid w:val="01180B98"/>
    <w:rsid w:val="02322A5F"/>
    <w:rsid w:val="02612484"/>
    <w:rsid w:val="02BD215B"/>
    <w:rsid w:val="03737326"/>
    <w:rsid w:val="046E64DA"/>
    <w:rsid w:val="05631B4D"/>
    <w:rsid w:val="074D733C"/>
    <w:rsid w:val="07684137"/>
    <w:rsid w:val="084A6689"/>
    <w:rsid w:val="0855275E"/>
    <w:rsid w:val="1144618E"/>
    <w:rsid w:val="117F1FCA"/>
    <w:rsid w:val="127E6AC8"/>
    <w:rsid w:val="1369177F"/>
    <w:rsid w:val="173D3401"/>
    <w:rsid w:val="18E31ADF"/>
    <w:rsid w:val="1B8C683F"/>
    <w:rsid w:val="1BAA0B9C"/>
    <w:rsid w:val="1BC26966"/>
    <w:rsid w:val="1C6138F8"/>
    <w:rsid w:val="1C6B2EAE"/>
    <w:rsid w:val="1C8A520A"/>
    <w:rsid w:val="1CC30DCE"/>
    <w:rsid w:val="1D5116E9"/>
    <w:rsid w:val="1D9F7D06"/>
    <w:rsid w:val="1FFB6BCF"/>
    <w:rsid w:val="20FF068E"/>
    <w:rsid w:val="21CD3B0A"/>
    <w:rsid w:val="24392FBD"/>
    <w:rsid w:val="24B16F55"/>
    <w:rsid w:val="250369BF"/>
    <w:rsid w:val="253E4D7E"/>
    <w:rsid w:val="2555750B"/>
    <w:rsid w:val="257516B8"/>
    <w:rsid w:val="274C4D41"/>
    <w:rsid w:val="27FB372B"/>
    <w:rsid w:val="291A1A74"/>
    <w:rsid w:val="2AE27F96"/>
    <w:rsid w:val="2AFC53C6"/>
    <w:rsid w:val="2C640C1E"/>
    <w:rsid w:val="2CFD156D"/>
    <w:rsid w:val="2EC17EC2"/>
    <w:rsid w:val="33D7599C"/>
    <w:rsid w:val="368F0787"/>
    <w:rsid w:val="38336F9F"/>
    <w:rsid w:val="38EB156D"/>
    <w:rsid w:val="3A1C30CC"/>
    <w:rsid w:val="3A74673D"/>
    <w:rsid w:val="3B2F0EB0"/>
    <w:rsid w:val="3B7B4B6D"/>
    <w:rsid w:val="3C063688"/>
    <w:rsid w:val="42933EC4"/>
    <w:rsid w:val="429866AD"/>
    <w:rsid w:val="430D3318"/>
    <w:rsid w:val="44C83AE4"/>
    <w:rsid w:val="44CA75E5"/>
    <w:rsid w:val="4527628D"/>
    <w:rsid w:val="494B105B"/>
    <w:rsid w:val="49CA25D4"/>
    <w:rsid w:val="4ABE61D9"/>
    <w:rsid w:val="4AC779BE"/>
    <w:rsid w:val="4ADF6764"/>
    <w:rsid w:val="4AF64135"/>
    <w:rsid w:val="4BEF692D"/>
    <w:rsid w:val="4C071830"/>
    <w:rsid w:val="4CB4106E"/>
    <w:rsid w:val="4D4F71C9"/>
    <w:rsid w:val="4DF57B76"/>
    <w:rsid w:val="4ED11C33"/>
    <w:rsid w:val="4F7D139E"/>
    <w:rsid w:val="51A93A75"/>
    <w:rsid w:val="5696054F"/>
    <w:rsid w:val="57380775"/>
    <w:rsid w:val="58006F24"/>
    <w:rsid w:val="590D080C"/>
    <w:rsid w:val="593C1ED5"/>
    <w:rsid w:val="5A9B6959"/>
    <w:rsid w:val="5B9D6789"/>
    <w:rsid w:val="5BE42CB3"/>
    <w:rsid w:val="5F5B3CF9"/>
    <w:rsid w:val="5F870159"/>
    <w:rsid w:val="60250AE0"/>
    <w:rsid w:val="60E102C0"/>
    <w:rsid w:val="61312A93"/>
    <w:rsid w:val="64424E0F"/>
    <w:rsid w:val="64AB0ECC"/>
    <w:rsid w:val="65E023DE"/>
    <w:rsid w:val="66EA5CA6"/>
    <w:rsid w:val="66F76E3E"/>
    <w:rsid w:val="674A0653"/>
    <w:rsid w:val="68A64B49"/>
    <w:rsid w:val="69C0200C"/>
    <w:rsid w:val="6E544A7A"/>
    <w:rsid w:val="6E872CD6"/>
    <w:rsid w:val="71B26D14"/>
    <w:rsid w:val="72764FE1"/>
    <w:rsid w:val="73AA6AD0"/>
    <w:rsid w:val="73F51AEF"/>
    <w:rsid w:val="74687B97"/>
    <w:rsid w:val="756131C2"/>
    <w:rsid w:val="75C04B46"/>
    <w:rsid w:val="790078D8"/>
    <w:rsid w:val="7F3D7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napToGrid w:val="0"/>
      <w:spacing w:before="240" w:after="360"/>
      <w:jc w:val="center"/>
      <w:outlineLvl w:val="0"/>
    </w:pPr>
    <w:rPr>
      <w:b/>
      <w:bCs/>
      <w:kern w:val="44"/>
      <w:sz w:val="28"/>
      <w:szCs w:val="44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4">
    <w:name w:val="Body Text"/>
    <w:basedOn w:val="1"/>
    <w:link w:val="29"/>
    <w:unhideWhenUsed/>
    <w:qFormat/>
    <w:uiPriority w:val="99"/>
    <w:pPr>
      <w:spacing w:after="120"/>
    </w:p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8">
    <w:name w:val="Date"/>
    <w:basedOn w:val="1"/>
    <w:next w:val="1"/>
    <w:link w:val="30"/>
    <w:unhideWhenUsed/>
    <w:qFormat/>
    <w:uiPriority w:val="0"/>
    <w:pPr>
      <w:ind w:left="100" w:leftChars="2500"/>
    </w:pPr>
  </w:style>
  <w:style w:type="paragraph" w:styleId="9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Body Text First Indent"/>
    <w:basedOn w:val="4"/>
    <w:link w:val="28"/>
    <w:qFormat/>
    <w:uiPriority w:val="0"/>
    <w:pPr>
      <w:spacing w:after="0" w:line="300" w:lineRule="auto"/>
      <w:ind w:firstLine="200" w:firstLineChars="200"/>
    </w:pPr>
    <w:rPr>
      <w:rFonts w:ascii="Arial" w:hAnsi="Arial"/>
      <w:sz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表目录"/>
    <w:basedOn w:val="15"/>
    <w:qFormat/>
    <w:uiPriority w:val="0"/>
    <w:pPr>
      <w:tabs>
        <w:tab w:val="center" w:pos="4393"/>
      </w:tabs>
      <w:snapToGrid w:val="0"/>
      <w:spacing w:before="156" w:beforeLines="50" w:line="440" w:lineRule="exact"/>
      <w:ind w:firstLine="422" w:firstLineChars="200"/>
      <w:jc w:val="center"/>
    </w:pPr>
    <w:rPr>
      <w:rFonts w:ascii="宋体" w:hAnsi="宋体"/>
      <w:b/>
      <w:szCs w:val="21"/>
    </w:rPr>
  </w:style>
  <w:style w:type="paragraph" w:customStyle="1" w:styleId="26">
    <w:name w:val="Char Char1 Char Char Char Char"/>
    <w:basedOn w:val="1"/>
    <w:qFormat/>
    <w:uiPriority w:val="0"/>
    <w:rPr>
      <w:szCs w:val="20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宋体" w:eastAsia="宋体" w:cs="仿宋_GB2312"/>
      <w:color w:val="000000"/>
      <w:sz w:val="24"/>
      <w:szCs w:val="24"/>
      <w:lang w:val="en-US" w:eastAsia="zh-CN" w:bidi="ar-SA"/>
    </w:rPr>
  </w:style>
  <w:style w:type="character" w:customStyle="1" w:styleId="28">
    <w:name w:val="正文首行缩进 Char"/>
    <w:basedOn w:val="29"/>
    <w:link w:val="19"/>
    <w:qFormat/>
    <w:uiPriority w:val="0"/>
    <w:rPr>
      <w:rFonts w:ascii="Arial" w:hAnsi="Arial" w:eastAsia="宋体" w:cs="Times New Roman"/>
      <w:sz w:val="24"/>
      <w:szCs w:val="24"/>
    </w:rPr>
  </w:style>
  <w:style w:type="character" w:customStyle="1" w:styleId="29">
    <w:name w:val="正文文本 Char"/>
    <w:basedOn w:val="2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0">
    <w:name w:val="日期 Char"/>
    <w:basedOn w:val="22"/>
    <w:link w:val="8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1">
    <w:name w:val="页脚 Char"/>
    <w:basedOn w:val="22"/>
    <w:link w:val="10"/>
    <w:qFormat/>
    <w:uiPriority w:val="99"/>
    <w:rPr>
      <w:sz w:val="18"/>
      <w:szCs w:val="18"/>
    </w:rPr>
  </w:style>
  <w:style w:type="character" w:customStyle="1" w:styleId="32">
    <w:name w:val="批注框文本 Char"/>
    <w:basedOn w:val="22"/>
    <w:link w:val="9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3">
    <w:name w:val="页眉 Char"/>
    <w:basedOn w:val="22"/>
    <w:link w:val="11"/>
    <w:semiHidden/>
    <w:qFormat/>
    <w:uiPriority w:val="99"/>
    <w:rPr>
      <w:sz w:val="18"/>
      <w:szCs w:val="18"/>
    </w:rPr>
  </w:style>
  <w:style w:type="character" w:customStyle="1" w:styleId="34">
    <w:name w:val="font51"/>
    <w:basedOn w:val="22"/>
    <w:qFormat/>
    <w:uiPriority w:val="0"/>
    <w:rPr>
      <w:rFonts w:hint="default" w:ascii="Times New Roman" w:hAnsi="Times New Roman" w:cs="Times New Roman"/>
      <w:color w:val="auto"/>
      <w:sz w:val="21"/>
      <w:szCs w:val="21"/>
      <w:u w:val="none"/>
    </w:rPr>
  </w:style>
  <w:style w:type="character" w:customStyle="1" w:styleId="35">
    <w:name w:val="font81"/>
    <w:basedOn w:val="22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36">
    <w:name w:val="font61"/>
    <w:basedOn w:val="22"/>
    <w:qFormat/>
    <w:uiPriority w:val="0"/>
    <w:rPr>
      <w:rFonts w:hint="default" w:ascii="Times New Roman" w:hAnsi="Times New Roman" w:cs="Times New Roman"/>
      <w:b/>
      <w:color w:val="auto"/>
      <w:sz w:val="21"/>
      <w:szCs w:val="21"/>
      <w:u w:val="none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paragraph" w:customStyle="1" w:styleId="38">
    <w:name w:val="列出段落2"/>
    <w:basedOn w:val="1"/>
    <w:qFormat/>
    <w:uiPriority w:val="99"/>
    <w:pPr>
      <w:ind w:firstLine="420" w:firstLineChars="200"/>
    </w:pPr>
  </w:style>
  <w:style w:type="character" w:customStyle="1" w:styleId="39">
    <w:name w:val="font31"/>
    <w:basedOn w:val="2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第一个元素和日期" Version="1987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B3A41-F5C5-4617-BCB8-0EE9E8BB78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861</Words>
  <Characters>4913</Characters>
  <Lines>40</Lines>
  <Paragraphs>11</Paragraphs>
  <TotalTime>112</TotalTime>
  <ScaleCrop>false</ScaleCrop>
  <LinksUpToDate>false</LinksUpToDate>
  <CharactersWithSpaces>5763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2012-12-30T02:31:00Z</dcterms:created>
  <dc:creator>曹佳音</dc:creator>
  <cp:lastModifiedBy>裴钰鑫</cp:lastModifiedBy>
  <cp:lastPrinted>2021-05-13T00:30:00Z</cp:lastPrinted>
  <dcterms:modified xsi:type="dcterms:W3CDTF">2021-05-13T06:22:37Z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6D84822A03E5493D94B1EE1E84B71656</vt:lpwstr>
  </property>
</Properties>
</file>